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01" w:rsidRDefault="00CE4B81" w:rsidP="000E0BAF">
      <w:pPr>
        <w:spacing w:after="0"/>
        <w:jc w:val="center"/>
        <w:rPr>
          <w:rFonts w:ascii="Monotype Corsiva" w:hAnsi="Monotype Corsiva" w:cs="Times New Roman"/>
          <w:b/>
          <w:color w:val="C00000"/>
          <w:sz w:val="40"/>
          <w:szCs w:val="40"/>
        </w:rPr>
      </w:pPr>
      <w:r w:rsidRPr="00CE4B81">
        <w:rPr>
          <w:rFonts w:ascii="Monotype Corsiva" w:hAnsi="Monotype Corsiva" w:cs="Times New Roman"/>
          <w:b/>
          <w:color w:val="C00000"/>
          <w:sz w:val="40"/>
          <w:szCs w:val="40"/>
        </w:rPr>
        <w:t xml:space="preserve">Новое  в  уголовном  кодексе  Российской  Федерации </w:t>
      </w:r>
    </w:p>
    <w:p w:rsidR="00D508CF" w:rsidRPr="00D508CF" w:rsidRDefault="00D508CF" w:rsidP="000E0BAF">
      <w:pPr>
        <w:spacing w:after="0"/>
        <w:jc w:val="center"/>
        <w:rPr>
          <w:rFonts w:ascii="Monotype Corsiva" w:hAnsi="Monotype Corsiva" w:cs="Times New Roman"/>
          <w:b/>
          <w:color w:val="C00000"/>
          <w:sz w:val="16"/>
          <w:szCs w:val="16"/>
        </w:rPr>
      </w:pPr>
    </w:p>
    <w:p w:rsidR="00CE4B81" w:rsidRPr="00CE4B81" w:rsidRDefault="00D508CF" w:rsidP="000E0BAF">
      <w:pPr>
        <w:spacing w:after="0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C00000"/>
          <w:sz w:val="16"/>
          <w:szCs w:val="1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4990465</wp:posOffset>
            </wp:positionH>
            <wp:positionV relativeFrom="paragraph">
              <wp:posOffset>107315</wp:posOffset>
            </wp:positionV>
            <wp:extent cx="1626870" cy="1231265"/>
            <wp:effectExtent l="19050" t="0" r="0" b="0"/>
            <wp:wrapSquare wrapText="bothSides"/>
            <wp:docPr id="4" name="Рисунок 4" descr="http://nevezhkino.belinskij.pnzreg.ru/files/nevezhkino_belinskij_pnzreg_ru/ugolovnyy_kodeks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vezhkino.belinskij.pnzreg.ru/files/nevezhkino_belinskij_pnzreg_ru/ugolovnyy_kodeks_fo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CE4B81" w:rsidRPr="00CE4B81" w:rsidRDefault="00CE4B8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Pr="00CE4B81" w:rsidRDefault="00726C01" w:rsidP="000679D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C01" w:rsidRPr="00CE4B81" w:rsidRDefault="00726C01" w:rsidP="00CE4B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Мелкое </w:t>
      </w:r>
      <w:r w:rsidR="00CE4B8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взяточничество</w:t>
      </w:r>
      <w:r w:rsidR="00CE4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7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Pr="00CE4B8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Style w:val="a3"/>
        <w:tblW w:w="10709" w:type="dxa"/>
        <w:tblLook w:val="04A0"/>
      </w:tblPr>
      <w:tblGrid>
        <w:gridCol w:w="5354"/>
        <w:gridCol w:w="5355"/>
      </w:tblGrid>
      <w:tr w:rsidR="00726C01" w:rsidRPr="00EE724A" w:rsidTr="00CE4B81">
        <w:trPr>
          <w:trHeight w:val="328"/>
        </w:trPr>
        <w:tc>
          <w:tcPr>
            <w:tcW w:w="5354" w:type="dxa"/>
          </w:tcPr>
          <w:p w:rsidR="00726C01" w:rsidRPr="00EE724A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2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Преступление</w:t>
            </w:r>
          </w:p>
        </w:tc>
        <w:tc>
          <w:tcPr>
            <w:tcW w:w="5355" w:type="dxa"/>
          </w:tcPr>
          <w:p w:rsidR="00726C01" w:rsidRPr="00EE724A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2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Наказание</w:t>
            </w:r>
          </w:p>
        </w:tc>
      </w:tr>
      <w:tr w:rsidR="00726C01" w:rsidRPr="00F90CC2" w:rsidTr="00CE4B81">
        <w:trPr>
          <w:trHeight w:val="2610"/>
        </w:trPr>
        <w:tc>
          <w:tcPr>
            <w:tcW w:w="5354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5355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EE724A">
        <w:trPr>
          <w:trHeight w:val="2608"/>
        </w:trPr>
        <w:tc>
          <w:tcPr>
            <w:tcW w:w="5354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8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="00CE4B81"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5355" w:type="dxa"/>
          </w:tcPr>
          <w:p w:rsidR="00726C01" w:rsidRPr="00CE4B81" w:rsidRDefault="00936855" w:rsidP="00CE4B8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</w:tc>
      </w:tr>
      <w:tr w:rsidR="00726C01" w:rsidRPr="00F90CC2" w:rsidTr="00CE4B81">
        <w:trPr>
          <w:trHeight w:val="1031"/>
        </w:trPr>
        <w:tc>
          <w:tcPr>
            <w:tcW w:w="10709" w:type="dxa"/>
            <w:gridSpan w:val="2"/>
          </w:tcPr>
          <w:p w:rsidR="00CE4B81" w:rsidRPr="00CE4B81" w:rsidRDefault="00CE4B81" w:rsidP="00CE4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:rsidR="00CE4B81" w:rsidRPr="00EE724A" w:rsidRDefault="004B63C7" w:rsidP="00C0358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-62230</wp:posOffset>
                  </wp:positionV>
                  <wp:extent cx="205105" cy="199390"/>
                  <wp:effectExtent l="19050" t="0" r="4445" b="0"/>
                  <wp:wrapTight wrapText="bothSides">
                    <wp:wrapPolygon edited="0">
                      <wp:start x="-2006" y="0"/>
                      <wp:lineTo x="-2006" y="18573"/>
                      <wp:lineTo x="22068" y="18573"/>
                      <wp:lineTo x="22068" y="0"/>
                      <wp:lineTo x="-2006" y="0"/>
                    </wp:wrapPolygon>
                  </wp:wrapTight>
                  <wp:docPr id="7" name="Рисунок 7" descr="Картинки по запросу восклицательный знак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6C01" w:rsidRPr="00EE724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="00726C01" w:rsidRPr="00EE724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3" w:history="1">
              <w:r w:rsidR="00726C01" w:rsidRPr="00EE724A">
                <w:rPr>
                  <w:rFonts w:ascii="Times New Roman" w:hAnsi="Times New Roman" w:cs="Times New Roman"/>
                  <w:bCs/>
                  <w:i/>
                  <w:sz w:val="20"/>
                  <w:szCs w:val="20"/>
                </w:rPr>
                <w:t>добровольно</w:t>
              </w:r>
            </w:hyperlink>
            <w:r w:rsidR="00726C01" w:rsidRPr="00EE724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CE4B81" w:rsidRDefault="00CE4B8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0"/>
      <w:bookmarkEnd w:id="0"/>
    </w:p>
    <w:p w:rsidR="00726C01" w:rsidRPr="00CE4B81" w:rsidRDefault="00726C01" w:rsidP="00CE4B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  <w:r w:rsidR="00CE4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4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0771" w:type="dxa"/>
        <w:tblLook w:val="04A0"/>
      </w:tblPr>
      <w:tblGrid>
        <w:gridCol w:w="5385"/>
        <w:gridCol w:w="5386"/>
      </w:tblGrid>
      <w:tr w:rsidR="00F90CC2" w:rsidRPr="00EE724A" w:rsidTr="00CE4B81">
        <w:trPr>
          <w:trHeight w:val="145"/>
        </w:trPr>
        <w:tc>
          <w:tcPr>
            <w:tcW w:w="5385" w:type="dxa"/>
          </w:tcPr>
          <w:p w:rsidR="00F90CC2" w:rsidRPr="00EE724A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2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Преступление</w:t>
            </w:r>
          </w:p>
        </w:tc>
        <w:tc>
          <w:tcPr>
            <w:tcW w:w="5386" w:type="dxa"/>
          </w:tcPr>
          <w:p w:rsidR="00F90CC2" w:rsidRPr="00EE724A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2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Наказание</w:t>
            </w:r>
          </w:p>
        </w:tc>
      </w:tr>
      <w:tr w:rsidR="00F90CC2" w:rsidRPr="00F90CC2" w:rsidTr="00CE4B81">
        <w:trPr>
          <w:trHeight w:val="1951"/>
        </w:trPr>
        <w:tc>
          <w:tcPr>
            <w:tcW w:w="53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EE724A" w:rsidRDefault="00951B9C" w:rsidP="00CE4B81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724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Примечание: </w:t>
            </w:r>
            <w:r w:rsidRPr="00EE724A">
              <w:rPr>
                <w:rFonts w:ascii="Times New Roman" w:hAnsi="Times New Roman" w:cs="Times New Roman"/>
                <w:i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</w:tc>
        <w:tc>
          <w:tcPr>
            <w:tcW w:w="53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тот же срок со штрафом в размере до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пятикратной суммы коммерческого подкупа или без такового</w:t>
            </w:r>
          </w:p>
        </w:tc>
      </w:tr>
      <w:tr w:rsidR="00F90CC2" w:rsidRPr="00F90CC2" w:rsidTr="00CE4B81">
        <w:trPr>
          <w:trHeight w:val="145"/>
        </w:trPr>
        <w:tc>
          <w:tcPr>
            <w:tcW w:w="53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EE724A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E724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Примечание: </w:t>
            </w:r>
            <w:r w:rsidRPr="00EE724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</w:t>
            </w:r>
            <w:r w:rsidRPr="00EE724A">
              <w:rPr>
                <w:rFonts w:ascii="Times New Roman" w:hAnsi="Times New Roman" w:cs="Times New Roman"/>
                <w:i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53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</w:t>
            </w:r>
            <w:r w:rsidR="00EE72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CE4B81">
        <w:trPr>
          <w:trHeight w:val="145"/>
        </w:trPr>
        <w:tc>
          <w:tcPr>
            <w:tcW w:w="53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EE724A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E724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Примечание: </w:t>
            </w:r>
            <w:r w:rsidRPr="00EE724A">
              <w:rPr>
                <w:rFonts w:ascii="Times New Roman" w:hAnsi="Times New Roman" w:cs="Times New Roman"/>
                <w:i/>
                <w:sz w:val="20"/>
                <w:szCs w:val="20"/>
              </w:rPr>
              <w:t>Особо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53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CE4B81">
        <w:trPr>
          <w:trHeight w:val="145"/>
        </w:trPr>
        <w:tc>
          <w:tcPr>
            <w:tcW w:w="53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53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одного года до двух лет</w:t>
            </w:r>
            <w:r w:rsidR="00EE72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E4B8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CE4B81">
        <w:trPr>
          <w:trHeight w:val="1058"/>
        </w:trPr>
        <w:tc>
          <w:tcPr>
            <w:tcW w:w="10770" w:type="dxa"/>
            <w:gridSpan w:val="2"/>
          </w:tcPr>
          <w:p w:rsidR="00CE4B81" w:rsidRPr="00A93B0A" w:rsidRDefault="00CE4B81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:rsidR="00F90CC2" w:rsidRPr="00EE724A" w:rsidRDefault="004B63C7" w:rsidP="009E3F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-99060</wp:posOffset>
                  </wp:positionV>
                  <wp:extent cx="222885" cy="222250"/>
                  <wp:effectExtent l="19050" t="0" r="5715" b="0"/>
                  <wp:wrapTight wrapText="bothSides">
                    <wp:wrapPolygon edited="0">
                      <wp:start x="-1846" y="0"/>
                      <wp:lineTo x="-1846" y="20366"/>
                      <wp:lineTo x="22154" y="20366"/>
                      <wp:lineTo x="22154" y="0"/>
                      <wp:lineTo x="-1846" y="0"/>
                    </wp:wrapPolygon>
                  </wp:wrapTight>
                  <wp:docPr id="2" name="Рисунок 22" descr="Картинки по запросу восклицательный знак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90CC2" w:rsidRPr="00EE724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="00F90CC2" w:rsidRPr="00EE724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  <w:p w:rsidR="00A93B0A" w:rsidRPr="00A93B0A" w:rsidRDefault="00A93B0A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3B3FE6" w:rsidRPr="00A93B0A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726C01" w:rsidRPr="00CE4B81" w:rsidRDefault="00726C01" w:rsidP="00CE4B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  <w:r w:rsidR="00CE4B8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0721" w:type="dxa"/>
        <w:tblLook w:val="04A0"/>
      </w:tblPr>
      <w:tblGrid>
        <w:gridCol w:w="5360"/>
        <w:gridCol w:w="5361"/>
      </w:tblGrid>
      <w:tr w:rsidR="00F705B3" w:rsidRPr="00EE724A" w:rsidTr="00CE4B81">
        <w:trPr>
          <w:trHeight w:val="327"/>
        </w:trPr>
        <w:tc>
          <w:tcPr>
            <w:tcW w:w="5360" w:type="dxa"/>
          </w:tcPr>
          <w:p w:rsidR="00F705B3" w:rsidRPr="00EE724A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2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Преступление</w:t>
            </w:r>
          </w:p>
        </w:tc>
        <w:tc>
          <w:tcPr>
            <w:tcW w:w="5361" w:type="dxa"/>
          </w:tcPr>
          <w:p w:rsidR="00F705B3" w:rsidRPr="00EE724A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2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Наказание</w:t>
            </w:r>
          </w:p>
        </w:tc>
      </w:tr>
      <w:tr w:rsidR="00F705B3" w:rsidRPr="00C563A3" w:rsidTr="00CE4B81">
        <w:trPr>
          <w:trHeight w:val="2562"/>
        </w:trPr>
        <w:tc>
          <w:tcPr>
            <w:tcW w:w="5360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5361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A93B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A93B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A93B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CE4B81">
        <w:trPr>
          <w:trHeight w:val="2260"/>
        </w:trPr>
        <w:tc>
          <w:tcPr>
            <w:tcW w:w="5360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6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="00CE4B81">
              <w:t xml:space="preserve"> </w:t>
            </w:r>
            <w:r w:rsidR="00CE4B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CE4B81">
              <w:rPr>
                <w:rFonts w:ascii="Times New Roman" w:hAnsi="Times New Roman" w:cs="Times New Roman"/>
                <w:bCs/>
                <w:sz w:val="28"/>
                <w:szCs w:val="28"/>
              </w:rPr>
              <w:t>Росси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5361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A93B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A93B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CE4B81">
        <w:trPr>
          <w:trHeight w:val="1197"/>
        </w:trPr>
        <w:tc>
          <w:tcPr>
            <w:tcW w:w="10721" w:type="dxa"/>
            <w:gridSpan w:val="2"/>
          </w:tcPr>
          <w:p w:rsidR="00A93B0A" w:rsidRPr="00A93B0A" w:rsidRDefault="00A93B0A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:rsidR="00C563A3" w:rsidRPr="00EE724A" w:rsidRDefault="004B63C7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-76200</wp:posOffset>
                  </wp:positionV>
                  <wp:extent cx="217170" cy="214630"/>
                  <wp:effectExtent l="19050" t="0" r="0" b="0"/>
                  <wp:wrapTight wrapText="bothSides">
                    <wp:wrapPolygon edited="0">
                      <wp:start x="-1895" y="0"/>
                      <wp:lineTo x="-1895" y="19172"/>
                      <wp:lineTo x="20842" y="19172"/>
                      <wp:lineTo x="20842" y="0"/>
                      <wp:lineTo x="-1895" y="0"/>
                    </wp:wrapPolygon>
                  </wp:wrapTight>
                  <wp:docPr id="23" name="Рисунок 23" descr="Картинки по запросу восклицательный знак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563A3" w:rsidRPr="00EE724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="00C563A3" w:rsidRPr="00EE724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в орган, имеющий право возбудить уголовное дело, о передаче предмета подкупа.</w:t>
            </w:r>
          </w:p>
          <w:p w:rsidR="00A93B0A" w:rsidRPr="00A93B0A" w:rsidRDefault="00A93B0A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207E22">
      <w:headerReference w:type="default" r:id="rId17"/>
      <w:pgSz w:w="11906" w:h="16838"/>
      <w:pgMar w:top="284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B00" w:rsidRDefault="00E17B00" w:rsidP="004E0B3F">
      <w:pPr>
        <w:spacing w:after="0" w:line="240" w:lineRule="auto"/>
      </w:pPr>
      <w:r>
        <w:separator/>
      </w:r>
    </w:p>
  </w:endnote>
  <w:endnote w:type="continuationSeparator" w:id="1">
    <w:p w:rsidR="00E17B00" w:rsidRDefault="00E17B00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B00" w:rsidRDefault="00E17B00" w:rsidP="004E0B3F">
      <w:pPr>
        <w:spacing w:after="0" w:line="240" w:lineRule="auto"/>
      </w:pPr>
      <w:r>
        <w:separator/>
      </w:r>
    </w:p>
  </w:footnote>
  <w:footnote w:type="continuationSeparator" w:id="1">
    <w:p w:rsidR="00E17B00" w:rsidRDefault="00E17B00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59221"/>
      <w:docPartObj>
        <w:docPartGallery w:val="Page Numbers (Top of Page)"/>
        <w:docPartUnique/>
      </w:docPartObj>
    </w:sdtPr>
    <w:sdtContent>
      <w:p w:rsidR="004E0B3F" w:rsidRDefault="001521F2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0B3F"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3F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6A49"/>
    <w:rsid w:val="00127449"/>
    <w:rsid w:val="00132BC9"/>
    <w:rsid w:val="001334A5"/>
    <w:rsid w:val="00137C45"/>
    <w:rsid w:val="00141E84"/>
    <w:rsid w:val="00146483"/>
    <w:rsid w:val="00152029"/>
    <w:rsid w:val="001521F2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477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07E22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14E5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3C7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1F6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25E4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4793"/>
    <w:rsid w:val="009259DC"/>
    <w:rsid w:val="0092780A"/>
    <w:rsid w:val="0093057E"/>
    <w:rsid w:val="009320D7"/>
    <w:rsid w:val="00932DD2"/>
    <w:rsid w:val="009352B6"/>
    <w:rsid w:val="0093569F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3F78"/>
    <w:rsid w:val="009E57DA"/>
    <w:rsid w:val="009E5C75"/>
    <w:rsid w:val="009E5F7A"/>
    <w:rsid w:val="009F1C48"/>
    <w:rsid w:val="009F32BA"/>
    <w:rsid w:val="009F4B3E"/>
    <w:rsid w:val="009F5054"/>
    <w:rsid w:val="009F57D4"/>
    <w:rsid w:val="00A03AA2"/>
    <w:rsid w:val="00A041CC"/>
    <w:rsid w:val="00A04848"/>
    <w:rsid w:val="00A05CDE"/>
    <w:rsid w:val="00A10041"/>
    <w:rsid w:val="00A1583D"/>
    <w:rsid w:val="00A17C71"/>
    <w:rsid w:val="00A233F1"/>
    <w:rsid w:val="00A2357C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3B0A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BF712D"/>
    <w:rsid w:val="00C02C8D"/>
    <w:rsid w:val="00C03589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6B6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4B81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05FA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08CF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4CA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17B00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E724A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3ECC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8EFCC7EB4BA6D7DCE1FC67A015FB968BF4B3241s879M" TargetMode="External"/><Relationship Id="rId13" Type="http://schemas.openxmlformats.org/officeDocument/2006/relationships/hyperlink" Target="consultantplus://offline/ref=E3C3DA4468589E535EE0E7E3CBB5BF63EC146CEAC177B4BA6D7DCE1FC67A015FB968BF4832448DE2s175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C3DA4468589E535EE0E7E3CBB5BF63EF1169E9C579B4BA6D7DCE1FC67A015FB968BF4832448CE7s174M" TargetMode="Externa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E1D8A9D2BFF8745C6D741BE3F8C795C73CA4E1Dq4AFN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5q8A1N" TargetMode="External"/><Relationship Id="rId10" Type="http://schemas.openxmlformats.org/officeDocument/2006/relationships/hyperlink" Target="consultantplus://offline/ref=E3C3DA4468589E535EE0E7E3CBB5BF63EF1168EFCC7EB4BA6D7DCE1FC67A015FB968BF4B324Cs87B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3s87FM" TargetMode="External"/><Relationship Id="rId14" Type="http://schemas.openxmlformats.org/officeDocument/2006/relationships/hyperlink" Target="consultantplus://offline/ref=4CE080C5D1927FF8C6086888074F1D503EE82F1B839A2BFF8745C6D741BE3F8C795C73CA47144946q8A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Снежана</cp:lastModifiedBy>
  <cp:revision>34</cp:revision>
  <dcterms:created xsi:type="dcterms:W3CDTF">2016-07-28T03:43:00Z</dcterms:created>
  <dcterms:modified xsi:type="dcterms:W3CDTF">2017-12-07T09:38:00Z</dcterms:modified>
</cp:coreProperties>
</file>